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132" w:before="0" w:line="252" w:lineRule="auto"/>
        <w:ind w:hanging="0" w:left="4494" w:right="0"/>
        <w:contextualSpacing w:val="false"/>
        <w:jc w:val="both"/>
      </w:pPr>
      <w:r>
        <w:rPr/>
      </w:r>
    </w:p>
    <w:p>
      <w:pPr>
        <w:pStyle w:val="style0"/>
        <w:spacing w:after="132" w:before="0" w:line="252" w:lineRule="auto"/>
        <w:ind w:hanging="0" w:left="4494" w:right="0"/>
        <w:contextualSpacing w:val="false"/>
        <w:jc w:val="both"/>
      </w:pPr>
      <w:r>
        <w:rPr/>
        <w:drawing>
          <wp:inline distB="0" distL="0" distR="0" distT="0">
            <wp:extent cx="627380" cy="68580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90" w:before="0" w:line="312" w:lineRule="auto"/>
        <w:ind w:hanging="0" w:left="0" w:right="917"/>
        <w:contextualSpacing w:val="false"/>
        <w:jc w:val="center"/>
      </w:pPr>
      <w:r>
        <w:rPr>
          <w:b/>
          <w:bCs/>
        </w:rPr>
        <w:t xml:space="preserve">МИНИСТЕРСТВО НАУКИ </w:t>
      </w:r>
      <w:r>
        <w:rPr>
          <w:b/>
          <w:bCs/>
          <w:lang w:val="ru-RU"/>
        </w:rPr>
        <w:t xml:space="preserve">И </w:t>
      </w:r>
      <w:r>
        <w:rPr>
          <w:b/>
          <w:bCs/>
        </w:rPr>
        <w:t>ВЫСШЕГО ОБРАЗОВАНИЯ РОССИЙСКОЙ ФЕДЕРАЦИИ ФЕДЕРАЛЬНОЕ ГОСУДАРСТВЕННОЕ БЮДЖЕТНОЕ</w:t>
      </w:r>
    </w:p>
    <w:p>
      <w:pPr>
        <w:pStyle w:val="style0"/>
        <w:ind w:hanging="8" w:left="422" w:right="648"/>
        <w:jc w:val="center"/>
      </w:pPr>
      <w:r>
        <w:rPr>
          <w:b/>
          <w:bCs/>
        </w:rPr>
        <w:t>ОБРАЗОВАТЕЛЬНОЕ УЧРЕЖДЕНИЕ ВЫСШЕГО ОБРАЗОВАНИЯ</w:t>
      </w:r>
    </w:p>
    <w:p>
      <w:pPr>
        <w:pStyle w:val="style0"/>
        <w:spacing w:after="104" w:before="0"/>
        <w:ind w:hanging="8" w:left="288" w:right="648"/>
        <w:contextualSpacing w:val="false"/>
        <w:jc w:val="center"/>
      </w:pPr>
      <w:r>
        <w:rPr>
          <w:b/>
          <w:bCs/>
        </w:rPr>
        <w:t>«ДОНСКОЙ ГОСУДАРСТВЕННЫЙ ТЕХНИЧЕСКИЙ УНИВЕРСИТЕТ»</w:t>
      </w:r>
    </w:p>
    <w:p>
      <w:pPr>
        <w:pStyle w:val="style0"/>
        <w:spacing w:after="729" w:before="0" w:line="264" w:lineRule="auto"/>
        <w:ind w:hanging="10" w:left="1417" w:right="3536"/>
        <w:contextualSpacing w:val="false"/>
        <w:jc w:val="center"/>
      </w:pPr>
      <w:r>
        <w:rPr>
          <w:b/>
          <w:bCs/>
        </w:rPr>
        <w:t>(ДГТУ)</w:t>
      </w:r>
    </w:p>
    <w:p>
      <w:pPr>
        <w:pStyle w:val="style0"/>
        <w:spacing w:after="2198" w:before="0"/>
        <w:ind w:hanging="0" w:left="0" w:right="2322"/>
        <w:contextualSpacing w:val="false"/>
        <w:jc w:val="both"/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>едиакоммуникации и мультимедийные технологии                                                                     Кафедра «Связи с общественностью»</w:t>
      </w:r>
    </w:p>
    <w:p>
      <w:pPr>
        <w:pStyle w:val="style0"/>
        <w:spacing w:after="0" w:before="0" w:line="100" w:lineRule="atLeast"/>
        <w:ind w:hanging="10" w:left="2134" w:right="3549"/>
        <w:contextualSpacing w:val="false"/>
        <w:jc w:val="center"/>
      </w:pPr>
      <w:r>
        <w:rPr>
          <w:b/>
          <w:sz w:val="28"/>
          <w:szCs w:val="28"/>
        </w:rPr>
        <w:t>Методические указания по дисциплине «Выборные технологии»</w:t>
      </w:r>
    </w:p>
    <w:p>
      <w:pPr>
        <w:pStyle w:val="style0"/>
        <w:spacing w:after="0" w:before="0" w:line="100" w:lineRule="atLeast"/>
        <w:ind w:hanging="10" w:left="2134" w:right="3549"/>
        <w:contextualSpacing w:val="false"/>
        <w:jc w:val="center"/>
      </w:pPr>
      <w:r>
        <w:rPr>
          <w:b/>
          <w:sz w:val="28"/>
          <w:szCs w:val="28"/>
        </w:rPr>
        <w:t>направлени</w:t>
      </w:r>
      <w:r>
        <w:rPr>
          <w:b/>
          <w:sz w:val="28"/>
          <w:szCs w:val="28"/>
          <w:lang w:val="ru-RU"/>
        </w:rPr>
        <w:t>е</w:t>
      </w:r>
      <w:r>
        <w:rPr>
          <w:b/>
          <w:sz w:val="28"/>
          <w:szCs w:val="28"/>
        </w:rPr>
        <w:t xml:space="preserve"> 42.03.01 Реклама и связи с</w:t>
      </w:r>
    </w:p>
    <w:p>
      <w:pPr>
        <w:pStyle w:val="style0"/>
        <w:spacing w:after="3016" w:before="0" w:line="100" w:lineRule="atLeast"/>
        <w:ind w:hanging="10" w:left="831" w:right="2244"/>
        <w:contextualSpacing w:val="false"/>
        <w:jc w:val="center"/>
      </w:pPr>
      <w:r>
        <w:rPr>
          <w:b/>
          <w:sz w:val="28"/>
          <w:szCs w:val="28"/>
        </w:rPr>
        <w:t>общественностью                                                                             программ</w:t>
      </w:r>
      <w:r>
        <w:rPr>
          <w:b/>
          <w:sz w:val="28"/>
          <w:szCs w:val="28"/>
          <w:lang w:val="ru-RU"/>
        </w:rPr>
        <w:t>а</w:t>
      </w:r>
      <w:r>
        <w:rPr>
          <w:b/>
          <w:sz w:val="28"/>
          <w:szCs w:val="28"/>
        </w:rPr>
        <w:t xml:space="preserve"> «Связи с общественностью»</w:t>
      </w:r>
    </w:p>
    <w:p>
      <w:pPr>
        <w:pStyle w:val="style0"/>
        <w:spacing w:after="1194" w:before="0"/>
        <w:ind w:hanging="0" w:left="0" w:right="648"/>
        <w:contextualSpacing w:val="false"/>
        <w:jc w:val="center"/>
      </w:pPr>
      <w:r>
        <w:rPr/>
        <w:t xml:space="preserve">        </w:t>
      </w:r>
    </w:p>
    <w:p>
      <w:pPr>
        <w:pStyle w:val="style0"/>
        <w:spacing w:after="1194" w:before="0"/>
        <w:ind w:hanging="0" w:left="0" w:right="648"/>
        <w:contextualSpacing w:val="false"/>
        <w:jc w:val="center"/>
      </w:pPr>
      <w:r>
        <w:rPr/>
        <w:t xml:space="preserve"> </w:t>
      </w:r>
      <w:r>
        <w:rPr/>
        <w:t>Ростов-на-Дону,  2022</w:t>
      </w:r>
    </w:p>
    <w:p>
      <w:pPr>
        <w:pStyle w:val="style0"/>
        <w:ind w:hanging="8" w:left="236" w:right="648"/>
        <w:jc w:val="both"/>
      </w:pPr>
      <w:r>
        <w:rPr/>
      </w:r>
    </w:p>
    <w:p>
      <w:pPr>
        <w:pStyle w:val="style0"/>
        <w:spacing w:after="748" w:before="0"/>
        <w:ind w:hanging="8" w:left="538" w:right="648"/>
        <w:contextualSpacing w:val="false"/>
        <w:jc w:val="both"/>
      </w:pPr>
      <w:r>
        <w:rPr>
          <w:sz w:val="28"/>
          <w:szCs w:val="28"/>
        </w:rPr>
        <w:t xml:space="preserve">Составитель: </w:t>
      </w:r>
      <w:r>
        <w:rPr>
          <w:sz w:val="28"/>
          <w:szCs w:val="28"/>
          <w:lang w:val="ru-RU"/>
        </w:rPr>
        <w:t>д. полит. наук, профессор  М.И. Пранова</w:t>
      </w:r>
    </w:p>
    <w:p>
      <w:pPr>
        <w:pStyle w:val="style0"/>
        <w:spacing w:after="561" w:before="0" w:line="348" w:lineRule="auto"/>
        <w:ind w:hanging="360" w:left="890" w:right="1606"/>
        <w:contextualSpacing w:val="false"/>
        <w:jc w:val="both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Методические указания по   подготовке  и  выполнению лабораторных  работ  по  дисциплине «Выборные технологии» для студентов направления 42.03.01 «Реклама и связи с общественностью» для  </w:t>
      </w:r>
      <w:r>
        <w:rPr>
          <w:sz w:val="28"/>
          <w:szCs w:val="28"/>
          <w:lang w:val="ru-RU"/>
        </w:rPr>
        <w:t xml:space="preserve">заочной </w:t>
      </w:r>
      <w:r>
        <w:rPr>
          <w:sz w:val="28"/>
          <w:szCs w:val="28"/>
        </w:rPr>
        <w:t xml:space="preserve"> форм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обучения.</w:t>
      </w:r>
    </w:p>
    <w:p>
      <w:pPr>
        <w:pStyle w:val="style0"/>
        <w:spacing w:after="7769" w:before="0" w:line="348" w:lineRule="auto"/>
        <w:ind w:hanging="360" w:left="890" w:right="1599"/>
        <w:contextualSpacing w:val="false"/>
        <w:jc w:val="both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Содержат основные требования, рекомендации к выполнению и оформлению </w:t>
      </w:r>
      <w:r>
        <w:rPr>
          <w:sz w:val="28"/>
          <w:szCs w:val="28"/>
          <w:lang w:val="ru-RU"/>
        </w:rPr>
        <w:t>контрольных</w:t>
      </w:r>
      <w:r>
        <w:rPr>
          <w:sz w:val="28"/>
          <w:szCs w:val="28"/>
        </w:rPr>
        <w:t xml:space="preserve"> работ, перечень основной литературы и Интернет-ресурсов, необходимых для подготовке к выполнению </w:t>
      </w:r>
      <w:r>
        <w:rPr>
          <w:sz w:val="28"/>
          <w:szCs w:val="28"/>
          <w:lang w:val="ru-RU"/>
        </w:rPr>
        <w:t xml:space="preserve">контрольной </w:t>
      </w:r>
      <w:r>
        <w:rPr>
          <w:sz w:val="28"/>
          <w:szCs w:val="28"/>
        </w:rPr>
        <w:t xml:space="preserve">работы. Предназначены для студентов направления 42.03.01 «Реклама и связи с общественностью» </w:t>
      </w:r>
      <w:r>
        <w:rPr>
          <w:sz w:val="28"/>
          <w:szCs w:val="28"/>
          <w:lang w:val="ru-RU"/>
        </w:rPr>
        <w:t xml:space="preserve">заочной </w:t>
      </w:r>
      <w:r>
        <w:rPr>
          <w:sz w:val="28"/>
          <w:szCs w:val="28"/>
        </w:rPr>
        <w:t xml:space="preserve"> форм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обучения.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/>
        <w:t xml:space="preserve">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Предмет  курса «Выборные технологии» – </w:t>
      </w:r>
      <w:r>
        <w:rPr>
          <w:sz w:val="28"/>
          <w:szCs w:val="28"/>
          <w:lang w:val="ru-RU"/>
        </w:rPr>
        <w:t xml:space="preserve">современные выборные </w:t>
      </w:r>
      <w:r>
        <w:rPr>
          <w:sz w:val="28"/>
          <w:szCs w:val="28"/>
        </w:rPr>
        <w:t xml:space="preserve">технологии  и их использование в избирательных кампаниях. </w:t>
      </w:r>
      <w:r>
        <w:rPr>
          <w:b w:val="false"/>
          <w:bCs w:val="false"/>
          <w:sz w:val="28"/>
          <w:szCs w:val="28"/>
        </w:rPr>
        <w:t>Цель курса -</w:t>
      </w:r>
      <w:r>
        <w:rPr>
          <w:sz w:val="28"/>
          <w:szCs w:val="28"/>
        </w:rPr>
        <w:t xml:space="preserve"> дисциплины является изучение современных выборных технологий и возможностей их практического применения. Курс «Выборные технологии»  логически  связан  с дисциплинами «Политическая реклама и PR», «Политические процессы в современной России», «Теория и практика рекламы», «Антикризисные медиакоммуникации», «Организация и проведение коммуникационных кампаний» и др.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b w:val="false"/>
          <w:bCs w:val="false"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Формы организации обучения:</w:t>
      </w:r>
      <w:r>
        <w:rPr>
          <w:sz w:val="28"/>
          <w:szCs w:val="28"/>
        </w:rPr>
        <w:t xml:space="preserve"> лекции, консультации, </w:t>
      </w:r>
      <w:r>
        <w:rPr>
          <w:sz w:val="28"/>
          <w:szCs w:val="28"/>
          <w:lang w:val="ru-RU"/>
        </w:rPr>
        <w:t>самостоятельная работа</w:t>
      </w:r>
      <w:r>
        <w:rPr>
          <w:sz w:val="28"/>
          <w:szCs w:val="28"/>
        </w:rPr>
        <w:t xml:space="preserve">.  При освоении  </w:t>
      </w:r>
      <w:r>
        <w:rPr>
          <w:sz w:val="28"/>
          <w:szCs w:val="28"/>
          <w:lang w:val="ru-RU"/>
        </w:rPr>
        <w:t xml:space="preserve">дисциплины </w:t>
      </w:r>
      <w:r>
        <w:rPr>
          <w:sz w:val="28"/>
          <w:szCs w:val="28"/>
        </w:rPr>
        <w:t xml:space="preserve"> «Выборные технологии» студентам имеют возможность индивидуальной  работы  с  преподавателями  в  режиме  </w:t>
      </w:r>
      <w:r>
        <w:rPr>
          <w:b w:val="false"/>
          <w:bCs w:val="false"/>
          <w:sz w:val="28"/>
          <w:szCs w:val="28"/>
        </w:rPr>
        <w:t>консультации.</w:t>
      </w:r>
      <w:r>
        <w:rPr>
          <w:sz w:val="28"/>
          <w:szCs w:val="28"/>
        </w:rPr>
        <w:t xml:space="preserve"> Консультации проводятся в течение семестра, по утвержденному графику. Информацию о месте и времени консультации можно получить  </w:t>
      </w:r>
      <w:r>
        <w:rPr>
          <w:sz w:val="28"/>
          <w:szCs w:val="28"/>
          <w:lang w:val="ru-RU"/>
        </w:rPr>
        <w:t xml:space="preserve">в деканате  и </w:t>
      </w:r>
      <w:r>
        <w:rPr>
          <w:sz w:val="28"/>
          <w:szCs w:val="28"/>
        </w:rPr>
        <w:t xml:space="preserve">на кафедре. Дисциплина </w:t>
      </w:r>
      <w:r>
        <w:rPr>
          <w:rFonts w:cs="Courier New" w:eastAsia="Courier New"/>
          <w:sz w:val="28"/>
          <w:szCs w:val="28"/>
        </w:rPr>
        <w:t>«</w:t>
      </w:r>
      <w:r>
        <w:rPr>
          <w:sz w:val="28"/>
          <w:szCs w:val="28"/>
        </w:rPr>
        <w:t>Выборные технологии</w:t>
      </w:r>
      <w:r>
        <w:rPr>
          <w:rFonts w:cs="Courier New" w:eastAsia="Courier New"/>
          <w:sz w:val="28"/>
          <w:szCs w:val="28"/>
        </w:rPr>
        <w:t xml:space="preserve">» </w:t>
      </w:r>
      <w:r>
        <w:rPr>
          <w:sz w:val="28"/>
          <w:szCs w:val="28"/>
        </w:rPr>
        <w:t xml:space="preserve">изучается в </w:t>
      </w:r>
      <w:r>
        <w:rPr>
          <w:sz w:val="28"/>
          <w:szCs w:val="28"/>
          <w:lang w:val="ru-RU"/>
        </w:rPr>
        <w:t xml:space="preserve">одного </w:t>
      </w:r>
      <w:r>
        <w:rPr>
          <w:sz w:val="28"/>
          <w:szCs w:val="28"/>
        </w:rPr>
        <w:t xml:space="preserve">течение семестра, </w:t>
      </w:r>
      <w:r>
        <w:rPr>
          <w:sz w:val="28"/>
          <w:szCs w:val="28"/>
          <w:lang w:val="ru-RU"/>
        </w:rPr>
        <w:t>промежуточная аттестация в форме экзамена</w:t>
      </w:r>
      <w:r>
        <w:rPr>
          <w:sz w:val="28"/>
          <w:szCs w:val="28"/>
        </w:rPr>
        <w:t>.  В результате изучения курса студенты должны: иметь представление о выборных технологиях, применяемых в избирательных кампаниях, владеть инструментами и методами коммуникационных технологий. Работа студентов оценивается дифференцированно в зависимости от того как они усвоили теоретический материал, выполн</w:t>
      </w:r>
      <w:r>
        <w:rPr>
          <w:sz w:val="28"/>
          <w:szCs w:val="28"/>
          <w:lang w:val="ru-RU"/>
        </w:rPr>
        <w:t>или контрольную работу</w:t>
      </w:r>
      <w:r>
        <w:rPr>
          <w:sz w:val="28"/>
          <w:szCs w:val="28"/>
        </w:rPr>
        <w:t>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Студенты заочной формы обучения выполняют контрольную работу. Контрольная работа – одна из основных форм межсессионных заданий для студентов заочной формы обучения. </w:t>
      </w:r>
      <w:r>
        <w:rPr>
          <w:sz w:val="28"/>
          <w:szCs w:val="28"/>
          <w:lang w:val="ru-RU"/>
        </w:rPr>
        <w:t>Р</w:t>
      </w:r>
      <w:r>
        <w:rPr>
          <w:sz w:val="28"/>
          <w:szCs w:val="28"/>
        </w:rPr>
        <w:t>аботы выполняются по специальной тематике контрольных работ, составленной кафедрой «Связи с общественностью» на основе учебной программы курса.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Согласно учебному плану студент заочной формы обучения обязан выполнить одну контрольную работу за семестр. </w:t>
      </w:r>
      <w:r>
        <w:rPr>
          <w:b/>
          <w:sz w:val="28"/>
          <w:szCs w:val="28"/>
        </w:rPr>
        <w:t>Номер контрольной работы должен соответствовать последней цифре номера зачетной книжки студента</w:t>
      </w:r>
      <w:r>
        <w:rPr>
          <w:sz w:val="28"/>
          <w:szCs w:val="28"/>
        </w:rPr>
        <w:t>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Контрольная работа должна состоять из введения, основной части и заключения. </w:t>
      </w:r>
      <w:r>
        <w:rPr>
          <w:b/>
          <w:bCs/>
          <w:sz w:val="28"/>
          <w:szCs w:val="28"/>
        </w:rPr>
        <w:t>Во введении</w:t>
      </w:r>
      <w:r>
        <w:rPr>
          <w:sz w:val="28"/>
          <w:szCs w:val="28"/>
        </w:rPr>
        <w:t xml:space="preserve"> следует дать обоснование важности и актуальности избранной темы, сформулировать задачи работы, осуществить обзор использованной литературы и источников. </w:t>
      </w:r>
      <w:r>
        <w:rPr>
          <w:b/>
          <w:bCs/>
          <w:sz w:val="28"/>
          <w:szCs w:val="28"/>
          <w:lang w:val="ru-RU"/>
        </w:rPr>
        <w:t>Основная часть</w:t>
      </w:r>
      <w:r>
        <w:rPr>
          <w:sz w:val="28"/>
          <w:szCs w:val="28"/>
          <w:lang w:val="ru-RU"/>
        </w:rPr>
        <w:t xml:space="preserve"> контрольной работы. </w:t>
      </w:r>
      <w:r>
        <w:rPr>
          <w:sz w:val="28"/>
          <w:szCs w:val="28"/>
        </w:rPr>
        <w:t xml:space="preserve">При раскрытии основных вопросов необходимо обеспечить их полное соответствие формулировкам плана. Каждый раздел основной части должен завершаться краткими выводами. 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Заключение</w:t>
      </w:r>
      <w:r>
        <w:rPr>
          <w:sz w:val="28"/>
          <w:szCs w:val="28"/>
        </w:rPr>
        <w:t xml:space="preserve"> контрольной работы не должно содержать новых фактических данных. В нем резюмируется содержание работы, делаются четкие выводы по всей теме. Контрольная работа должна быть написано грамотно, необходимо стремиться к ясному и четкому стилю изложения материала. Приводимые в тексте цитаты необходимо снабжать ссылками на источники. В конце контрольной работы приводится список литературы </w:t>
      </w:r>
      <w:r>
        <w:rPr>
          <w:sz w:val="28"/>
          <w:szCs w:val="28"/>
          <w:lang w:val="ru-RU"/>
        </w:rPr>
        <w:t>и информационных источников</w:t>
      </w:r>
      <w:r>
        <w:rPr>
          <w:sz w:val="28"/>
          <w:szCs w:val="28"/>
        </w:rPr>
        <w:t xml:space="preserve"> (в алфавитном порядке), использованной студентом, при этом следует использовать преимущественно литературу последних лет издания, не менее пяти наименований. Требования к оформлению списка литературы (см. Приложение 1)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ru-RU"/>
        </w:rPr>
        <w:t>О</w:t>
      </w:r>
      <w:r>
        <w:rPr>
          <w:b/>
          <w:bCs/>
          <w:sz w:val="28"/>
          <w:szCs w:val="28"/>
        </w:rPr>
        <w:t xml:space="preserve">формление </w:t>
      </w:r>
      <w:r>
        <w:rPr>
          <w:sz w:val="28"/>
          <w:szCs w:val="28"/>
        </w:rPr>
        <w:t xml:space="preserve">контрольной работы </w:t>
      </w:r>
      <w:r>
        <w:rPr>
          <w:sz w:val="28"/>
          <w:szCs w:val="28"/>
          <w:lang w:val="ru-RU"/>
        </w:rPr>
        <w:t xml:space="preserve">делается </w:t>
      </w:r>
      <w:r>
        <w:rPr>
          <w:sz w:val="28"/>
          <w:szCs w:val="28"/>
        </w:rPr>
        <w:t xml:space="preserve"> в соответствии с «Правилами оформления письменных работ  обучающихся для гуманитарных направлений подготовки»;  «Правилами применения шаблонов оформления письменных работ обучающихся» введены в действие от 16.12.2020 №242.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Контрольная работа выполняется на стандартных листах белой бумаги формата А4. Текст работы должен быть набран на компьютере: шрифт Times New Roman, размер кегля – 14, межстрочный интервал – 1,5. Поля: слева – 3 см; сверху и снизу – 2,0 см; справа – 1,5 см. Красная строка – 1,25 см. Объем контрольной работы – 15-20 страниц. Нумерация страниц – сквозная. Номера страниц на титульном листе и втором листе с планом контрольной работы не ставятся. Каждый раздел работы, имеющий свой заголовок, начинается с новой страницы. Заголовок помещается в её верхней части и выделяется более крупным или жирным шрифтом. 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выполнении всех требований, предъявляемых к контрольной работе, студент получает </w:t>
      </w:r>
      <w:r>
        <w:rPr>
          <w:sz w:val="28"/>
          <w:szCs w:val="28"/>
          <w:lang w:val="ru-RU"/>
        </w:rPr>
        <w:t>допуск к защите контрольной работы на экзамене</w:t>
      </w:r>
      <w:r>
        <w:rPr>
          <w:sz w:val="28"/>
          <w:szCs w:val="28"/>
        </w:rPr>
        <w:t xml:space="preserve">. Все замечания, </w:t>
      </w:r>
      <w:r>
        <w:rPr>
          <w:sz w:val="28"/>
          <w:szCs w:val="28"/>
          <w:lang w:val="ru-RU"/>
        </w:rPr>
        <w:t>сделанные преподавателем в ходе проверки,</w:t>
      </w:r>
      <w:r>
        <w:rPr>
          <w:sz w:val="28"/>
          <w:szCs w:val="28"/>
        </w:rPr>
        <w:t xml:space="preserve"> необходимо учесть, то есть внести дополнения и изменения к основному тексту на дополнительных листах. На  экзамене студент представляет экзаменатору свою контрольную работу и текст дополнений, </w:t>
      </w:r>
      <w:r>
        <w:rPr>
          <w:sz w:val="28"/>
          <w:szCs w:val="28"/>
          <w:lang w:val="ru-RU"/>
        </w:rPr>
        <w:t>либо переделанную контрольную работу</w:t>
      </w:r>
      <w:r>
        <w:rPr>
          <w:sz w:val="28"/>
          <w:szCs w:val="28"/>
        </w:rPr>
        <w:t xml:space="preserve">. Если контрольная работа не соответствует изложенным выше требованиям, то она не зачитывается.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 Для проверки выполнения студентами указаний, сделанных преподавателем и для методической помощи студентам проводятся собеседования в сроки, установленные деканатом. </w:t>
      </w:r>
    </w:p>
    <w:p>
      <w:pPr>
        <w:pStyle w:val="style0"/>
        <w:spacing w:after="0" w:before="0" w:line="348" w:lineRule="auto"/>
        <w:ind w:hanging="0" w:left="0" w:right="-95"/>
        <w:contextualSpacing w:val="false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Студенты, получившие зачет за выполненную контрольную работу, допускаются к сдаче  </w:t>
      </w:r>
      <w:r>
        <w:rPr>
          <w:sz w:val="28"/>
          <w:szCs w:val="28"/>
          <w:lang w:val="ru-RU"/>
        </w:rPr>
        <w:t>экзамена.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/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center"/>
      </w:pPr>
      <w:r>
        <w:rPr>
          <w:b/>
          <w:bCs/>
          <w:sz w:val="28"/>
          <w:szCs w:val="28"/>
          <w:lang w:val="ru-RU"/>
        </w:rPr>
        <w:t>Темы контрольных работ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1. История выборов в современной России.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 xml:space="preserve">2. Выборы, как институт гражданского общества в РФ. 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3. Становление и тенденции современного развития политической рекламы.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4. Политическая реклама на выборах в современной России.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5. Избирательные системы современности, сравнительный анализ.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6. Особенности участия партий в избирательном процессе.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7. Основные этапы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8. Технологии избирательной кампании в современной России.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9. Особенности избирательных кампаний различного уровня и масштаба.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10. Влияние менталитета граждан РФ на проведение избирательных кампаний и процедуру голосования.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11. Ресурсы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12. Имидж кандидата в избирательной кампании и особенности его формирования.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13. Стратегия избирательной кампании и ее основные составляющие.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14. Основные задачи финансового обеспечения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15. Административный ресурс и его роль в российских избирательных кампаниях.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16. Особенности применения избирательных технологий в Интернете. Социальные сети как канал политической коммуникации.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17. Информационное сопровождение дня голосования на выборах.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 xml:space="preserve">18. Формирование политической культуры выборов в РФ. 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19. Политическая конкуренция в избирательных кампаниях.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20. Виртуализация выборов.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21. Организация взаимодействия с избирательными комиссиями.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22. Контроль за ходом голосования и  методы борьбы с нарушениями законности голосования.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23. Анализ электорального рынка.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24. Методы социологических исследований в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25. Организация работы наблюдателей на выборах, противодействие фальсификациям.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26. Специальные мероприятия  в избирательных кампаниях.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27. Организация взаимодействия со СМИ на выборах.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28. Политическая коммуникация в избирательной кампании как фактор влияния на ее эффективность.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/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center"/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Вопросы для промежуточной аттестации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/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1. Выборы как институт гражданского общества в РФ.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2. Нормативное регулирование выборов в современной России.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3. Порядок проведения выборов Президента РФ.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4. Порядок проведения выборов в Государственную Думу РФ.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5. Порядок проведения выборов в Ростовскую областную Думу.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6. Порядок проведения выборов Главы субъекта РФ.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7. Порядок проведения выборов главы муниципального образования.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 xml:space="preserve">8. Порядок </w:t>
        <w:tab/>
        <w:t xml:space="preserve">проведения </w:t>
        <w:tab/>
        <w:t>выборов</w:t>
        <w:tab/>
        <w:t xml:space="preserve">в представительный орган местного самоуправления. 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9. Политические партии  как субъект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10. Система избирательных комиссий в РФ.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11. Политическая культура и политические установки избирателей.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12. Методы и технологии социологического исследования в избирательных кампаниях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13. Прогнозирование поведения электората.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14. Особенности проведения социологических исследований в день выборов и после выборов.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15. Особенности организации работы в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16. Структура выборного штаба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17. Система построения имиджа кандидата.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18. Имиджевые стратегии в избирательных кампаниях.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19. Система и виды агитационного материала в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20. Виды наружной</w:t>
        <w:tab/>
        <w:t>политической рекламы</w:t>
        <w:tab/>
        <w:t>в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21. Факторы, определяющие выбор кандидата, политической партии.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22. Понятие агитации, пропаганды и рекламы в избирательных кампаниях и их специфика применения в избирательных технологиях.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23. Особенности организации агитационной кампании в средствах массовой информации.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24. Использование Интернет-ресурсов в избирательных технологиях.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25. Классификация избирательных технологий и эффективность их применения.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26. Негативные избирательные технологии - случаи применения и способы противодействия.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27. Практика применения административного ресурса в процессе выборов.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28. Роль и функции СМИ в избирательном процессе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29. Манипуляции процессом освещения предвыборных кампаний в СМИ и способы эффективного контроля.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30. Элементы влияния на ход и результат избирательной кампании.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31. Особенности деятельности избирательного штаба в день голосования.</w:t>
      </w:r>
    </w:p>
    <w:p>
      <w:pPr>
        <w:pStyle w:val="style0"/>
        <w:spacing w:after="0" w:before="0" w:line="348" w:lineRule="auto"/>
        <w:ind w:hanging="0" w:left="0" w:right="1023"/>
        <w:contextualSpacing w:val="false"/>
        <w:jc w:val="both"/>
      </w:pPr>
      <w:r>
        <w:rPr>
          <w:sz w:val="28"/>
          <w:szCs w:val="28"/>
          <w:lang w:val="ru-RU"/>
        </w:rPr>
        <w:t>32. Социальные медиа в избирательном процессе.</w:t>
      </w:r>
    </w:p>
    <w:p>
      <w:pPr>
        <w:pStyle w:val="style0"/>
        <w:spacing w:after="131" w:before="0" w:line="252" w:lineRule="auto"/>
        <w:ind w:hanging="10" w:left="831" w:right="56"/>
        <w:contextualSpacing w:val="false"/>
        <w:jc w:val="both"/>
      </w:pPr>
      <w:r>
        <w:rPr/>
      </w:r>
    </w:p>
    <w:p>
      <w:pPr>
        <w:pStyle w:val="style0"/>
        <w:spacing w:after="131" w:before="0" w:line="252" w:lineRule="auto"/>
        <w:ind w:hanging="10" w:left="831" w:right="56"/>
        <w:contextualSpacing w:val="false"/>
        <w:jc w:val="center"/>
      </w:pPr>
      <w:r>
        <w:rPr>
          <w:b/>
          <w:bCs/>
          <w:sz w:val="28"/>
          <w:szCs w:val="28"/>
        </w:rPr>
        <w:t>Список информационных ресурсов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</w:rPr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1</w:t>
        <w:tab/>
        <w:t>Глотов, С.А., Какителашвили, М.М.</w:t>
        <w:tab/>
        <w:t>Избирательное право и избирательный процесс: учебное пособие</w:t>
        <w:tab/>
        <w:t>Москва: Международный юридический институт, 2013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2</w:t>
        <w:tab/>
        <w:t>Головин Алексей Геннадьевич</w:t>
        <w:tab/>
        <w:t>Избирательное право и избирательный процесс в РФ: Курс лекций</w:t>
        <w:tab/>
        <w:t>Москва: ООО "Юридическое издательство Норма", 2016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3. Пранова М.И.</w:t>
        <w:tab/>
        <w:t>Воздействие информированности электората на социокультурный характер выборов, Ростов-на-Дону, ДГТУ, 2005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4. Гусев Д., Чернаков С., Хазеев Р. , Матвейчев О.А.</w:t>
        <w:tab/>
        <w:t>Уши машут ослом. Современное социальное программирование</w:t>
        <w:tab/>
        <w:t>Москва: Книжный мир, 2018.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5. Макарцев, А.А.</w:t>
        <w:tab/>
        <w:t>Избирательное право и избирательный процесс в Российской Федерации: практикум Новосибирск: Новосибирский государственный технический университет, 2010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6. Блануца Виктор Иванович</w:t>
        <w:tab/>
        <w:t>Геополитические исследования в структуре информационно-сетевой географии</w:t>
        <w:tab/>
        <w:t>Москва: ООО "Научно- издательский центр ИНФРА-М", 2016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7. ПОЛИС. Политические исследования: научный и культурно-просветительский журнал Москва: Редакция журнала “Полис” (“Политические исследования”), 2018.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8. Трыканова С. А., Кулешова Н. Н. Цифровые технологии в избирательном процессе. Издательство: Знание-М (научно-издательский центр "Логос"), 2021.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9. Марков, Р. С. Выборы высших должностных лиц субъектов Российской Федерации в контексте федеративных отношений: монография / Р.С. Марков. — Москва : ИНФРА-М, 2022. — 230 с. — (Научная мысль). — Текст : электронный. - URL: https://znanium.com/catalog/product/1852894 (дата обращения: 03.10.2022). – Режим доступа: по подписке.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10. Слободчикова, С. Н. Свободные выборы как избирательный стандарт : монография / С. Н. Слободчикова. - Москва : Юстицинформ, 2022. - 188 с.Текст : электронный. - URL: https://znanium.com/catalog/product/1859701 (дата обращения: 03.10.2022). – Режим доступа: по подписке.</w:t>
      </w:r>
    </w:p>
    <w:p>
      <w:pPr>
        <w:pStyle w:val="style0"/>
        <w:spacing w:after="131" w:before="0" w:line="360" w:lineRule="auto"/>
        <w:ind w:hanging="10" w:left="0" w:right="56"/>
        <w:contextualSpacing w:val="false"/>
        <w:jc w:val="both"/>
      </w:pPr>
      <w:r>
        <w:rPr>
          <w:b w:val="false"/>
          <w:bCs w:val="false"/>
          <w:sz w:val="28"/>
          <w:szCs w:val="28"/>
        </w:rPr>
        <w:t>11. Грошев, И. В. Психология региональных выборов: кандидаты и избиратели : монография / И.В. Грошев, А.В. Горбенко, Ю.А. Давыдова. — Москва : ИНФРА-М, 2021. — 251 с. — (Научная мысль). - Текст : электронный. - URL: https://znanium.com/catalog/product/1163948 (дата обращения: 03.12.2022). – Режим доступа: по подписке.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right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right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right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right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right"/>
      </w:pPr>
      <w:r>
        <w:rPr>
          <w:b/>
          <w:bCs/>
          <w:lang w:val="ru-RU"/>
        </w:rPr>
        <w:t>ПРИЛОЖЕНИЕ 1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center"/>
      </w:pPr>
      <w:r>
        <w:rPr>
          <w:b/>
          <w:bCs/>
          <w:lang w:val="ru-RU"/>
        </w:rPr>
        <w:t>ОФОРМЛЕНИЕ СПИСКА ИНФОРМАЦИОННЫХ ИСТОЧНИКОВ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>Законодательные и нормативные документы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sz w:val="28"/>
          <w:szCs w:val="28"/>
        </w:rPr>
        <w:t>Федеральный закон Российской Федерации от 21 июля 2011г. N 254-ФЗ «О внесении изменений в Федеральный закон «О науке и государственной научно-технической политике» // Российская газета. – № 5537. –2011. – 26 июля.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sz w:val="28"/>
          <w:szCs w:val="28"/>
        </w:rPr>
        <w:t>Молодежь в России. 2010: стат. сб. / ЮНИСЕФ, Росстат. – Офиц. изд. – М. : ИИЦ «Статистика России», 2010. – 166 с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/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Один автор 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Губа, В. П. Морфобиомеханические исследования в спорте / В. П. Губа. – М.: СпортАкадемЭкспресс, 2020. – 119 с.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>Два и более авторов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Железняк, Ю. Д. Основы научно-методической деятельности в физической культуре и спорте: учебное пособие для вузов/ Ю. Д. Железняк, П. К. Петров. – М.: Академия, 2012. – 264 с.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>Часть книги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Граевская, Н.Д. Оценка функционального состояния спортсменов по показателям состояния и взаимосвязи различных физиологических систем организма / Н.Д. Граевская // Современная система и методы врачебного контроля в спорте. – Малаховка: МОГИФК, 2012. – С. 4-12.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   </w:t>
      </w:r>
      <w:r>
        <w:rPr>
          <w:b/>
          <w:bCs/>
          <w:i/>
          <w:iCs/>
          <w:sz w:val="28"/>
          <w:szCs w:val="28"/>
          <w:lang w:val="ru-RU"/>
        </w:rPr>
        <w:t>Периодические издания (журналы, сборники научных трудов, материалы конференций)</w:t>
      </w:r>
    </w:p>
    <w:p>
      <w:pPr>
        <w:pStyle w:val="style0"/>
        <w:spacing w:after="131" w:before="0" w:line="252" w:lineRule="auto"/>
        <w:ind w:hanging="0" w:left="0" w:right="941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Дворкина, Н. И. Половозрастные особенности взаимозависимости в развитии интеллектуальных способностей и физических качеств детей дошкольного возраста / Н. И. Дворкина // Физическая культура, спорт – наука и практика. – 2013. - № 3. – С. 5-8.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      </w:t>
      </w:r>
      <w:r>
        <w:rPr>
          <w:b/>
          <w:bCs/>
          <w:i/>
          <w:iCs/>
          <w:sz w:val="28"/>
          <w:szCs w:val="28"/>
          <w:lang w:val="ru-RU"/>
        </w:rPr>
        <w:t xml:space="preserve">Несколько авторов 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Курдюков, Б. Ф. Обучение дошкольников социальному взаимодействию в детских группах / Б. Ф. Курдюков, Н. В. Иванова, М. Б. Бойкова, Ю. Ю. Городецкая // Физическая культура,спорт – наука и практика. – 2014. – № 1. – С. 46-49.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  </w:t>
      </w:r>
      <w:r>
        <w:rPr>
          <w:b/>
          <w:bCs/>
          <w:i/>
          <w:iCs/>
          <w:sz w:val="28"/>
          <w:szCs w:val="28"/>
          <w:lang w:val="ru-RU"/>
        </w:rPr>
        <w:t>Материалы конференций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 xml:space="preserve">Сокин, А. В. Методы медиаисследований / А. В. Сокин // Проблемы теории и практики в  исследованиях; Труды 33 научной конференции РУДН. – М. – 2017. – С. 223-225.  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b/>
          <w:bCs/>
          <w:i/>
          <w:iCs/>
          <w:sz w:val="28"/>
          <w:szCs w:val="28"/>
          <w:lang w:val="ru-RU"/>
        </w:rPr>
        <w:t>Электронный ресурс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Рыбаков, С.Ю. Проблема духовности в педагогическом аспекте / С. Ю. рыбаков // Теория и практика общественного развития [Электронный ресурс]. - 2014. № 16. Режим доступа: http://teoria-practica.ru/rus/files/arhiv_zhurnala/2014/16/pedagogics/rybakov.pdf. (Дата обращения 10 октября 2022)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/>
          <w:bCs/>
          <w:i/>
          <w:iCs/>
          <w:sz w:val="28"/>
          <w:szCs w:val="28"/>
          <w:lang w:val="ru-RU"/>
        </w:rPr>
        <w:t xml:space="preserve">  </w:t>
      </w:r>
      <w:r>
        <w:rPr>
          <w:b/>
          <w:bCs/>
          <w:i/>
          <w:iCs/>
          <w:sz w:val="28"/>
          <w:szCs w:val="28"/>
          <w:lang w:val="ru-RU"/>
        </w:rPr>
        <w:t>Сайт</w:t>
      </w:r>
    </w:p>
    <w:p>
      <w:pPr>
        <w:pStyle w:val="style0"/>
        <w:spacing w:after="131" w:before="0" w:line="252" w:lineRule="auto"/>
        <w:ind w:hanging="0" w:left="0" w:right="614"/>
        <w:contextualSpacing w:val="false"/>
        <w:jc w:val="both"/>
      </w:pPr>
      <w:r>
        <w:rPr>
          <w:b w:val="false"/>
          <w:bCs w:val="false"/>
          <w:i w:val="false"/>
          <w:iCs w:val="false"/>
          <w:sz w:val="28"/>
          <w:szCs w:val="28"/>
          <w:lang w:val="ru-RU"/>
        </w:rPr>
        <w:t>Сайт журнала «Физическая культура, спорт – наука и практика» [Электронный ресурс]. - Режим доступа: http://www.kgafk.ru/kgufk/html/gyr.html.</w:t>
      </w:r>
    </w:p>
    <w:sectPr>
      <w:type w:val="nextPage"/>
      <w:pgSz w:h="16838" w:w="11906"/>
      <w:pgMar w:bottom="1135" w:footer="0" w:gutter="0" w:header="0" w:left="1417" w:right="1134" w:top="1134"/>
      <w:pgNumType w:fmt="decimal"/>
      <w:formProt w:val="false"/>
      <w:textDirection w:val="lrTb"/>
      <w:docGrid w:charSpace="-2457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suppressAutoHyphens w:val="true"/>
      <w:spacing w:after="3" w:before="0" w:line="100" w:lineRule="atLeast"/>
      <w:ind w:hanging="8" w:left="1048" w:right="917"/>
      <w:contextualSpacing w:val="false"/>
      <w:jc w:val="left"/>
    </w:pPr>
    <w:rPr>
      <w:rFonts w:ascii="Times New Roman" w:cs="Lucida Sans" w:eastAsia="SimSun" w:hAnsi="Times New Roman"/>
      <w:color w:val="00000A"/>
      <w:sz w:val="24"/>
      <w:szCs w:val="24"/>
      <w:lang w:bidi="hi-IN" w:eastAsia="zh-CN" w:val="ru-RU"/>
    </w:rPr>
  </w:style>
  <w:style w:styleId="style15" w:type="character">
    <w:name w:val="WW8Num1z0"/>
    <w:next w:val="style15"/>
    <w:rPr>
      <w:rFonts w:ascii="Times New Roman" w:cs="Times New Roman" w:eastAsia="Times New Roman" w:hAnsi="Times New Roman"/>
      <w:b w:val="false"/>
      <w:i w:val="false"/>
      <w:strike w:val="false"/>
      <w:dstrike w:val="false"/>
      <w:color w:val="00000A"/>
      <w:position w:val="0"/>
      <w:sz w:val="28"/>
      <w:sz w:val="28"/>
      <w:szCs w:val="28"/>
      <w:u w:val="none"/>
      <w:shd w:fill="FFFFFF" w:val="clear"/>
      <w:vertAlign w:val="baseline"/>
    </w:rPr>
  </w:style>
  <w:style w:styleId="style16" w:type="character">
    <w:name w:val="WW8Num2z0"/>
    <w:next w:val="style16"/>
    <w:rPr>
      <w:rFonts w:ascii="Times New Roman" w:cs="Times New Roman" w:eastAsia="Times New Roman" w:hAnsi="Times New Roman"/>
      <w:b w:val="false"/>
      <w:i w:val="false"/>
      <w:strike w:val="false"/>
      <w:dstrike w:val="false"/>
      <w:color w:val="00000A"/>
      <w:position w:val="0"/>
      <w:sz w:val="28"/>
      <w:sz w:val="28"/>
      <w:szCs w:val="28"/>
      <w:u w:val="none"/>
      <w:shd w:fill="FFFFFF" w:val="clear"/>
      <w:vertAlign w:val="baseline"/>
    </w:rPr>
  </w:style>
  <w:style w:styleId="style17" w:type="character">
    <w:name w:val="WW8Num3z0"/>
    <w:next w:val="style17"/>
    <w:rPr>
      <w:rFonts w:ascii="Times New Roman" w:cs="Times New Roman" w:eastAsia="Times New Roman" w:hAnsi="Times New Roman"/>
      <w:b w:val="false"/>
      <w:i w:val="false"/>
      <w:strike w:val="false"/>
      <w:dstrike w:val="false"/>
      <w:color w:val="00000A"/>
      <w:position w:val="0"/>
      <w:sz w:val="28"/>
      <w:sz w:val="28"/>
      <w:szCs w:val="28"/>
      <w:u w:val="none"/>
      <w:shd w:fill="FFFFFF" w:val="clear"/>
      <w:vertAlign w:val="baseline"/>
    </w:rPr>
  </w:style>
  <w:style w:styleId="style18" w:type="character">
    <w:name w:val="WW8Num4z0"/>
    <w:next w:val="style18"/>
    <w:rPr>
      <w:rFonts w:ascii="Times New Roman" w:cs="Times New Roman" w:eastAsia="Times New Roman" w:hAnsi="Times New Roman"/>
      <w:b w:val="false"/>
      <w:i w:val="false"/>
      <w:strike w:val="false"/>
      <w:dstrike w:val="false"/>
      <w:color w:val="00000A"/>
      <w:position w:val="0"/>
      <w:sz w:val="28"/>
      <w:sz w:val="28"/>
      <w:szCs w:val="28"/>
      <w:u w:val="none"/>
      <w:shd w:fill="FFFFFF" w:val="clear"/>
      <w:vertAlign w:val="baseline"/>
    </w:rPr>
  </w:style>
  <w:style w:styleId="style19" w:type="character">
    <w:name w:val="WW8Num5z0"/>
    <w:next w:val="style19"/>
    <w:rPr>
      <w:rFonts w:ascii="Times New Roman" w:cs="Times New Roman" w:eastAsia="Times New Roman" w:hAnsi="Times New Roman"/>
      <w:b w:val="false"/>
      <w:i w:val="false"/>
      <w:strike w:val="false"/>
      <w:dstrike w:val="false"/>
      <w:color w:val="00000A"/>
      <w:position w:val="0"/>
      <w:sz w:val="28"/>
      <w:sz w:val="28"/>
      <w:szCs w:val="28"/>
      <w:u w:val="none"/>
      <w:shd w:fill="FFFFFF" w:val="clear"/>
      <w:vertAlign w:val="baseline"/>
    </w:rPr>
  </w:style>
  <w:style w:styleId="style20" w:type="character">
    <w:name w:val="WW8Num6zfalse"/>
    <w:next w:val="style20"/>
    <w:rPr/>
  </w:style>
  <w:style w:styleId="style21" w:type="character">
    <w:name w:val="WW8Num6ztrue"/>
    <w:next w:val="style21"/>
    <w:rPr/>
  </w:style>
  <w:style w:styleId="style22" w:type="character">
    <w:name w:val="Default Paragraph Font"/>
    <w:next w:val="style22"/>
    <w:rPr/>
  </w:style>
  <w:style w:styleId="style23" w:type="character">
    <w:name w:val="Интернет-ссылка"/>
    <w:next w:val="style23"/>
    <w:rPr>
      <w:color w:val="000080"/>
      <w:u w:val="single"/>
      <w:lang w:bidi="zxx-" w:eastAsia="zxx-" w:val="zxx-"/>
    </w:rPr>
  </w:style>
  <w:style w:styleId="style24" w:type="paragraph">
    <w:name w:val="Заголовок"/>
    <w:basedOn w:val="style0"/>
    <w:next w:val="style25"/>
    <w:pPr>
      <w:keepNext/>
      <w:spacing w:after="120" w:before="240"/>
      <w:contextualSpacing w:val="false"/>
    </w:pPr>
    <w:rPr>
      <w:rFonts w:ascii="Arial" w:cs="Lucida Sans" w:eastAsia="Microsoft YaHei" w:hAnsi="Arial"/>
      <w:sz w:val="28"/>
      <w:szCs w:val="28"/>
    </w:rPr>
  </w:style>
  <w:style w:styleId="style25" w:type="paragraph">
    <w:name w:val="Основной текст"/>
    <w:basedOn w:val="style0"/>
    <w:next w:val="style25"/>
    <w:pPr>
      <w:spacing w:after="120" w:before="0"/>
      <w:contextualSpacing w:val="false"/>
    </w:pPr>
    <w:rPr/>
  </w:style>
  <w:style w:styleId="style26" w:type="paragraph">
    <w:name w:val="Список"/>
    <w:basedOn w:val="style25"/>
    <w:next w:val="style26"/>
    <w:pPr/>
    <w:rPr>
      <w:rFonts w:cs="Lucida Sans"/>
    </w:rPr>
  </w:style>
  <w:style w:styleId="style27" w:type="paragraph">
    <w:name w:val="Название"/>
    <w:basedOn w:val="style0"/>
    <w:next w:val="style27"/>
    <w:pPr>
      <w:suppressLineNumbers/>
      <w:spacing w:after="120" w:before="120"/>
      <w:contextualSpacing w:val="false"/>
    </w:pPr>
    <w:rPr>
      <w:rFonts w:cs="Lucida Sans"/>
      <w:i/>
      <w:iCs/>
      <w:sz w:val="24"/>
      <w:szCs w:val="24"/>
    </w:rPr>
  </w:style>
  <w:style w:styleId="style28" w:type="paragraph">
    <w:name w:val="Указатель"/>
    <w:basedOn w:val="style0"/>
    <w:next w:val="style28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2067068</TotalTime>
  <Application>LibreOffice/4.0.3.3$Windows_x86 LibreOffice_project/0eaa50a932c8f2199a615e1eb30f7ac74279539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2019-11-19T11:03:00.00Z</dcterms:created>
  <dc:creator>pechat1</dc:creator>
  <cp:lastModifiedBy>word2</cp:lastModifiedBy>
  <dcterms:modified xsi:type="dcterms:W3CDTF">2019-11-19T11:03:00.00Z</dcterms:modified>
  <cp:revision>2</cp:revision>
  <dc:title>Примеры  оформления Списка литературы и References</dc:title>
</cp:coreProperties>
</file>